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Theme="majorEastAsia" w:hAnsiTheme="majorEastAsia" w:eastAsiaTheme="majorEastAsia"/>
          <w:b/>
          <w:sz w:val="44"/>
          <w:szCs w:val="44"/>
        </w:rPr>
      </w:pPr>
      <w:r>
        <w:rPr>
          <w:rFonts w:hint="eastAsia" w:asciiTheme="majorEastAsia" w:hAnsiTheme="majorEastAsia" w:eastAsiaTheme="majorEastAsia"/>
          <w:b/>
          <w:sz w:val="48"/>
          <w:szCs w:val="48"/>
        </w:rPr>
        <w:t>阅卷操作流程</w:t>
      </w:r>
    </w:p>
    <w:p>
      <w:pPr>
        <w:jc w:val="center"/>
        <w:rPr>
          <w:rFonts w:asciiTheme="majorEastAsia" w:hAnsiTheme="majorEastAsia" w:eastAsiaTheme="majorEastAsia"/>
          <w:sz w:val="44"/>
          <w:szCs w:val="44"/>
        </w:rPr>
      </w:pPr>
    </w:p>
    <w:p>
      <w:pPr>
        <w:jc w:val="center"/>
        <w:rPr>
          <w:rFonts w:asciiTheme="majorEastAsia" w:hAnsiTheme="majorEastAsia" w:eastAsiaTheme="majorEastAsia"/>
          <w:sz w:val="44"/>
          <w:szCs w:val="44"/>
        </w:rPr>
      </w:pP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4"/>
          <w:lang w:val="zh-CN"/>
        </w:rPr>
        <w:id w:val="1625273218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4"/>
          <w:lang w:val="zh-CN"/>
        </w:rPr>
      </w:sdtEndPr>
      <w:sdtContent>
        <w:p>
          <w:pPr>
            <w:pStyle w:val="16"/>
            <w:jc w:val="center"/>
            <w:rPr>
              <w:rFonts w:asciiTheme="majorEastAsia" w:hAnsiTheme="majorEastAsia"/>
              <w:b/>
              <w:bCs/>
              <w:sz w:val="44"/>
              <w:szCs w:val="44"/>
            </w:rPr>
          </w:pPr>
          <w:r>
            <w:rPr>
              <w:rFonts w:asciiTheme="majorEastAsia" w:hAnsiTheme="majorEastAsia"/>
              <w:b/>
              <w:bCs/>
              <w:sz w:val="44"/>
              <w:szCs w:val="44"/>
              <w:lang w:val="zh-CN"/>
            </w:rPr>
            <w:t>目录</w:t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sz w:val="28"/>
              <w:szCs w:val="28"/>
            </w:rPr>
            <w:fldChar w:fldCharType="begin"/>
          </w:r>
          <w:r>
            <w:rPr>
              <w:rFonts w:asciiTheme="majorEastAsia" w:hAnsiTheme="majorEastAsia" w:eastAsiaTheme="majorEastAsia"/>
              <w:sz w:val="28"/>
              <w:szCs w:val="28"/>
            </w:rPr>
            <w:instrText xml:space="preserve"> TOC \o "1-3" \h \z \u </w:instrText>
          </w:r>
          <w:r>
            <w:rPr>
              <w:rFonts w:asciiTheme="majorEastAsia" w:hAnsiTheme="majorEastAsia" w:eastAsiaTheme="majorEastAsia"/>
              <w:sz w:val="28"/>
              <w:szCs w:val="28"/>
            </w:rPr>
            <w:fldChar w:fldCharType="separate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</w:rPr>
            <w:instrText xml:space="preserve"> HYPERLINK \l _Toc31634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1.登录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_Toc31634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1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_Toc11532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2.阅卷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_Toc11532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2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_Toc11744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3.切换试题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_Toc11744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2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_Toc201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4.阅卷给分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_Toc201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3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_Toc2125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5.常用阅卷常用功能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_Toc2125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4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_Toc12210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卷面调整大小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_Toc12210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4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_Toc932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回评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_Toc932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4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_Toc23969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优秀与典型试卷（其他标志不建议使用）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_Toc23969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5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_Toc29091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查看阅卷进度（组长权限）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_Toc29091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6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_Toc9566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6.仲裁模式（组长权限）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_Toc9566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6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 w:val="0"/>
              <w:bCs w:val="0"/>
              <w:sz w:val="32"/>
              <w:szCs w:val="40"/>
            </w:rPr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_Toc31189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</w:rPr>
            <w:t>7.试评状态修改为正评状态（组长权限）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_Toc31189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7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begin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instrText xml:space="preserve"> HYPERLINK \l _Toc12460 </w:instrText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separate"/>
          </w:r>
          <w:r>
            <w:rPr>
              <w:rFonts w:hint="eastAsia"/>
              <w:b w:val="0"/>
              <w:bCs w:val="0"/>
              <w:sz w:val="32"/>
              <w:szCs w:val="40"/>
              <w:lang w:eastAsia="zh-CN"/>
            </w:rPr>
            <w:t>8.评卷质量管理</w:t>
          </w:r>
          <w:r>
            <w:rPr>
              <w:rFonts w:hint="eastAsia"/>
              <w:b w:val="0"/>
              <w:bCs w:val="0"/>
              <w:sz w:val="32"/>
              <w:szCs w:val="40"/>
            </w:rPr>
            <w:t>（组长权限）</w:t>
          </w:r>
          <w:r>
            <w:rPr>
              <w:b w:val="0"/>
              <w:bCs w:val="0"/>
              <w:sz w:val="32"/>
              <w:szCs w:val="40"/>
            </w:rPr>
            <w:tab/>
          </w:r>
          <w:r>
            <w:rPr>
              <w:b w:val="0"/>
              <w:bCs w:val="0"/>
              <w:sz w:val="32"/>
              <w:szCs w:val="40"/>
            </w:rPr>
            <w:fldChar w:fldCharType="begin"/>
          </w:r>
          <w:r>
            <w:rPr>
              <w:b w:val="0"/>
              <w:bCs w:val="0"/>
              <w:sz w:val="32"/>
              <w:szCs w:val="40"/>
            </w:rPr>
            <w:instrText xml:space="preserve"> PAGEREF _Toc12460 </w:instrText>
          </w:r>
          <w:r>
            <w:rPr>
              <w:b w:val="0"/>
              <w:bCs w:val="0"/>
              <w:sz w:val="32"/>
              <w:szCs w:val="40"/>
            </w:rPr>
            <w:fldChar w:fldCharType="separate"/>
          </w:r>
          <w:r>
            <w:rPr>
              <w:b w:val="0"/>
              <w:bCs w:val="0"/>
              <w:sz w:val="32"/>
              <w:szCs w:val="40"/>
            </w:rPr>
            <w:t>7</w:t>
          </w:r>
          <w:r>
            <w:rPr>
              <w:b w:val="0"/>
              <w:bCs w:val="0"/>
              <w:sz w:val="32"/>
              <w:szCs w:val="40"/>
            </w:rPr>
            <w:fldChar w:fldCharType="end"/>
          </w:r>
          <w:r>
            <w:rPr>
              <w:rFonts w:asciiTheme="majorEastAsia" w:hAnsiTheme="majorEastAsia" w:eastAsiaTheme="majorEastAsia"/>
              <w:b w:val="0"/>
              <w:bCs w:val="0"/>
              <w:sz w:val="32"/>
              <w:szCs w:val="44"/>
              <w:lang w:val="zh-CN"/>
            </w:rPr>
            <w:fldChar w:fldCharType="end"/>
          </w:r>
        </w:p>
        <w:p>
          <w:r>
            <w:rPr>
              <w:rFonts w:asciiTheme="majorEastAsia" w:hAnsiTheme="majorEastAsia" w:eastAsiaTheme="majorEastAsia"/>
              <w:bCs/>
              <w:szCs w:val="28"/>
              <w:lang w:val="zh-CN"/>
            </w:rPr>
            <w:fldChar w:fldCharType="end"/>
          </w:r>
        </w:p>
      </w:sdtContent>
    </w:sdt>
    <w:p>
      <w:pPr>
        <w:jc w:val="center"/>
        <w:rPr>
          <w:rFonts w:asciiTheme="majorEastAsia" w:hAnsiTheme="majorEastAsia" w:eastAsiaTheme="majorEastAsia"/>
          <w:sz w:val="44"/>
          <w:szCs w:val="44"/>
        </w:rPr>
      </w:pPr>
    </w:p>
    <w:p>
      <w:pPr>
        <w:rPr>
          <w:rFonts w:asciiTheme="majorEastAsia" w:hAnsiTheme="majorEastAsia" w:eastAsiaTheme="majorEastAsia"/>
          <w:sz w:val="44"/>
          <w:szCs w:val="44"/>
        </w:rPr>
      </w:pPr>
    </w:p>
    <w:p>
      <w:pPr>
        <w:rPr>
          <w:rFonts w:asciiTheme="majorEastAsia" w:hAnsiTheme="majorEastAsia" w:eastAsiaTheme="majorEastAsia"/>
          <w:sz w:val="44"/>
          <w:szCs w:val="44"/>
        </w:rPr>
      </w:pPr>
    </w:p>
    <w:p>
      <w:pPr>
        <w:rPr>
          <w:rFonts w:asciiTheme="majorEastAsia" w:hAnsiTheme="majorEastAsia" w:eastAsiaTheme="majorEastAsia"/>
          <w:sz w:val="44"/>
          <w:szCs w:val="44"/>
        </w:rPr>
      </w:pPr>
    </w:p>
    <w:p>
      <w:pPr>
        <w:rPr>
          <w:rFonts w:asciiTheme="majorEastAsia" w:hAnsiTheme="majorEastAsia" w:eastAsiaTheme="majorEastAsia"/>
          <w:sz w:val="44"/>
          <w:szCs w:val="44"/>
        </w:rPr>
      </w:pPr>
    </w:p>
    <w:p>
      <w:pPr>
        <w:pStyle w:val="2"/>
      </w:pPr>
      <w:bookmarkStart w:id="0" w:name="_Toc31634"/>
      <w:r>
        <w:rPr>
          <w:rFonts w:hint="eastAsia"/>
        </w:rPr>
        <w:t>1.登录</w:t>
      </w:r>
      <w:bookmarkEnd w:id="0"/>
    </w:p>
    <w:p>
      <w:pPr>
        <w:jc w:val="left"/>
        <w:rPr>
          <w:rFonts w:asciiTheme="minorEastAsia" w:hAnsiTheme="minorEastAsia"/>
          <w:sz w:val="24"/>
        </w:rPr>
      </w:pPr>
      <w:r>
        <w:rPr>
          <w:rFonts w:hint="eastAsia" w:asciiTheme="minorEastAsia" w:hAnsiTheme="minorEastAsia"/>
          <w:sz w:val="24"/>
        </w:rPr>
        <w:t>打开浏览器（3</w:t>
      </w:r>
      <w:r>
        <w:rPr>
          <w:rFonts w:asciiTheme="minorEastAsia" w:hAnsiTheme="minorEastAsia"/>
          <w:sz w:val="24"/>
        </w:rPr>
        <w:t>60</w:t>
      </w:r>
      <w:r>
        <w:rPr>
          <w:rFonts w:hint="eastAsia" w:asciiTheme="minorEastAsia" w:hAnsiTheme="minorEastAsia"/>
          <w:sz w:val="24"/>
        </w:rPr>
        <w:t>，谷歌，火狐等）输入阅卷网址,</w:t>
      </w:r>
      <w:r>
        <w:rPr>
          <w:rFonts w:asciiTheme="minorEastAsia" w:hAnsiTheme="minorEastAsia"/>
          <w:sz w:val="24"/>
        </w:rPr>
        <w:t>http://</w:t>
      </w:r>
      <w:r>
        <w:rPr>
          <w:rFonts w:hint="eastAsia" w:asciiTheme="minorEastAsia" w:hAnsiTheme="minorEastAsia"/>
          <w:sz w:val="24"/>
        </w:rPr>
        <w:t>*</w:t>
      </w:r>
      <w:r>
        <w:rPr>
          <w:rFonts w:asciiTheme="minorEastAsia" w:hAnsiTheme="minorEastAsia"/>
          <w:sz w:val="24"/>
        </w:rPr>
        <w:t>.*.*.*/ameqp</w:t>
      </w:r>
      <w:r>
        <w:rPr>
          <w:rFonts w:hint="eastAsia" w:asciiTheme="minorEastAsia" w:hAnsiTheme="minorEastAsia"/>
          <w:sz w:val="24"/>
        </w:rPr>
        <w:t>，输入用户名和密码，点击登录;</w:t>
      </w:r>
    </w:p>
    <w:p>
      <w:pPr>
        <w:jc w:val="left"/>
        <w:rPr>
          <w:rFonts w:asciiTheme="minorEastAsia" w:hAnsiTheme="minorEastAsia"/>
          <w:sz w:val="28"/>
          <w:szCs w:val="28"/>
        </w:rPr>
      </w:pPr>
      <w:r>
        <w:drawing>
          <wp:inline distT="0" distB="0" distL="0" distR="0">
            <wp:extent cx="5274310" cy="241617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6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" w:name="_Toc11532"/>
      <w:r>
        <w:rPr>
          <w:rFonts w:hint="eastAsia"/>
        </w:rPr>
        <w:t>2.阅卷</w:t>
      </w:r>
      <w:bookmarkEnd w:id="1"/>
    </w:p>
    <w:p>
      <w:pPr>
        <w:rPr>
          <w:sz w:val="24"/>
        </w:rPr>
      </w:pPr>
      <w:r>
        <w:rPr>
          <w:rFonts w:hint="eastAsia"/>
          <w:sz w:val="24"/>
        </w:rPr>
        <w:t>在左侧导航菜单内，点击一级菜单中的网上阅卷，在点击二级菜单中的评卷，在新弹出的界面，选择对应的考试项目与科目后，自动跳转至评卷界面；</w:t>
      </w:r>
    </w:p>
    <w:p>
      <w:r>
        <w:drawing>
          <wp:inline distT="0" distB="0" distL="0" distR="0">
            <wp:extent cx="3976370" cy="2676525"/>
            <wp:effectExtent l="0" t="0" r="508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78753" cy="2678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2" w:name="_Toc11744"/>
      <w:r>
        <w:rPr>
          <w:rFonts w:hint="eastAsia"/>
        </w:rPr>
        <w:t>3.切换试题</w:t>
      </w:r>
      <w:bookmarkEnd w:id="2"/>
    </w:p>
    <w:p>
      <w:pPr>
        <w:rPr>
          <w:sz w:val="24"/>
        </w:rPr>
      </w:pPr>
      <w:r>
        <w:rPr>
          <w:rFonts w:hint="eastAsia"/>
          <w:sz w:val="24"/>
        </w:rPr>
        <w:t>首次评卷时，默认进入当前科目的第一个划分题组，阅卷员可以点击上方的题组按钮，在下方弹出的试题栏，选择对应试题，在弹出的提示栏，点击确定即可；</w:t>
      </w:r>
    </w:p>
    <w:p>
      <w:r>
        <w:drawing>
          <wp:inline distT="0" distB="0" distL="0" distR="0">
            <wp:extent cx="5274310" cy="198945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3" w:name="_Toc201"/>
      <w:r>
        <w:rPr>
          <w:rFonts w:hint="eastAsia"/>
        </w:rPr>
        <w:t>4.阅卷给分</w:t>
      </w:r>
      <w:bookmarkEnd w:id="3"/>
    </w:p>
    <w:p>
      <w:pPr>
        <w:rPr>
          <w:sz w:val="24"/>
        </w:rPr>
      </w:pPr>
      <w:r>
        <w:rPr>
          <w:rFonts w:hint="eastAsia"/>
          <w:sz w:val="24"/>
        </w:rPr>
        <w:t>方法1：通过数字小键盘，敲击数字给分，按Enter</w:t>
      </w:r>
      <w:r>
        <w:rPr>
          <w:sz w:val="24"/>
        </w:rPr>
        <w:t>(</w:t>
      </w:r>
      <w:r>
        <w:rPr>
          <w:rFonts w:hint="eastAsia"/>
          <w:sz w:val="24"/>
        </w:rPr>
        <w:t>回车</w:t>
      </w:r>
      <w:r>
        <w:rPr>
          <w:sz w:val="24"/>
        </w:rPr>
        <w:t>)</w:t>
      </w:r>
      <w:r>
        <w:rPr>
          <w:rFonts w:hint="eastAsia"/>
          <w:sz w:val="24"/>
        </w:rPr>
        <w:t>或者点击提交，完成评分；</w:t>
      </w:r>
    </w:p>
    <w:p>
      <w:r>
        <w:drawing>
          <wp:inline distT="0" distB="0" distL="0" distR="0">
            <wp:extent cx="3867150" cy="2779395"/>
            <wp:effectExtent l="0" t="0" r="0" b="1905"/>
            <wp:docPr id="14" name="图片 14" descr="C:\Users\yaoxin\AppData\Local\Temp\160887752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yaoxin\AppData\Local\Temp\1608877520(1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67675" cy="2780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</w:rPr>
      </w:pPr>
      <w:r>
        <w:rPr>
          <w:rFonts w:hint="eastAsia"/>
          <w:sz w:val="24"/>
        </w:rPr>
        <w:t>方法2：通过鼠标，点击给分框后方的功能键》 ，点击分数，再点击提交，完成阅卷；</w:t>
      </w:r>
    </w:p>
    <w:p>
      <w:r>
        <w:drawing>
          <wp:inline distT="0" distB="0" distL="0" distR="0">
            <wp:extent cx="4425315" cy="2933700"/>
            <wp:effectExtent l="0" t="0" r="0" b="0"/>
            <wp:docPr id="17" name="图片 17" descr="C:\Users\yaoxin\AppData\Local\Temp\160887758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yaoxin\AppData\Local\Temp\1608877586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26397" cy="293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</w:rPr>
      </w:pPr>
      <w:bookmarkStart w:id="4" w:name="_Toc2125"/>
      <w:r>
        <w:rPr>
          <w:rFonts w:hint="eastAsia"/>
        </w:rPr>
        <w:t>5.常用阅卷常用功能</w:t>
      </w:r>
      <w:bookmarkEnd w:id="4"/>
    </w:p>
    <w:p>
      <w:pPr>
        <w:pStyle w:val="3"/>
        <w:rPr>
          <w:rFonts w:hint="eastAsia"/>
        </w:rPr>
      </w:pPr>
      <w:bookmarkStart w:id="5" w:name="_Toc12210"/>
      <w:r>
        <w:rPr>
          <w:rFonts w:hint="eastAsia"/>
        </w:rPr>
        <w:t>卷面调整大小</w:t>
      </w:r>
      <w:bookmarkEnd w:id="5"/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点击界面，选择放大或缩小，可以把给分框及提交按钮放在相应位置，点击锁定即可。</w:t>
      </w:r>
    </w:p>
    <w:p>
      <w:pPr>
        <w:rPr>
          <w:b/>
          <w:sz w:val="32"/>
          <w:szCs w:val="32"/>
        </w:rPr>
      </w:pPr>
      <w:r>
        <w:drawing>
          <wp:inline distT="0" distB="0" distL="0" distR="0">
            <wp:extent cx="6019800" cy="25241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9460" cy="2523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6" w:name="_Toc932"/>
      <w:r>
        <w:rPr>
          <w:rFonts w:hint="eastAsia"/>
        </w:rPr>
        <w:t>回评</w:t>
      </w:r>
      <w:bookmarkEnd w:id="6"/>
    </w:p>
    <w:p>
      <w:pPr>
        <w:rPr>
          <w:sz w:val="24"/>
        </w:rPr>
      </w:pPr>
      <w:r>
        <w:rPr>
          <w:rFonts w:hint="eastAsia"/>
          <w:sz w:val="24"/>
        </w:rPr>
        <w:t>在评卷界面上方找到回评，可查看评卷历史，可一份份查看，也可查看历史领卷列表，快速定位回评试卷；</w:t>
      </w:r>
    </w:p>
    <w:p>
      <w:r>
        <w:drawing>
          <wp:inline distT="0" distB="0" distL="0" distR="0">
            <wp:extent cx="5274310" cy="2497455"/>
            <wp:effectExtent l="0" t="0" r="2540" b="0"/>
            <wp:docPr id="19" name="图片 19" descr="C:\Users\yaoxin\AppData\Local\Temp\160887780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yaoxin\AppData\Local\Temp\1608877804(1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7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7" w:name="_Toc23969"/>
      <w:r>
        <w:rPr>
          <w:rFonts w:hint="eastAsia"/>
        </w:rPr>
        <w:t>优秀与典型试卷（其他标志不建议使用）</w:t>
      </w:r>
      <w:bookmarkEnd w:id="7"/>
    </w:p>
    <w:p>
      <w:pPr>
        <w:rPr>
          <w:sz w:val="24"/>
        </w:rPr>
      </w:pPr>
      <w:r>
        <w:rPr>
          <w:rFonts w:hint="eastAsia"/>
          <w:sz w:val="24"/>
        </w:rPr>
        <w:t>阅卷过程中，可对试卷标记，阅卷完成后，可导出试卷图像，用于讲评等；</w:t>
      </w:r>
    </w:p>
    <w:p>
      <w:pPr>
        <w:rPr>
          <w:sz w:val="24"/>
        </w:rPr>
      </w:pPr>
      <w:r>
        <w:rPr>
          <w:rFonts w:hint="eastAsia"/>
          <w:sz w:val="24"/>
        </w:rPr>
        <w:t>方法1：打开上方的菜单栏的标志，在下方直接点击；</w:t>
      </w:r>
    </w:p>
    <w:p>
      <w:pPr>
        <w:rPr>
          <w:sz w:val="24"/>
        </w:rPr>
      </w:pPr>
      <w:r>
        <w:rPr>
          <w:rFonts w:hint="eastAsia"/>
          <w:sz w:val="24"/>
        </w:rPr>
        <w:t>方法2：在左侧快捷工具栏，直接点击优秀试卷；</w:t>
      </w:r>
    </w:p>
    <w:p>
      <w:r>
        <w:drawing>
          <wp:inline distT="0" distB="0" distL="0" distR="0">
            <wp:extent cx="5410200" cy="2792730"/>
            <wp:effectExtent l="0" t="0" r="0" b="7620"/>
            <wp:docPr id="20" name="图片 20" descr="C:\Users\yaoxin\AppData\Local\Temp\160887789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yaoxin\AppData\Local\Temp\1608877894(1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7596" cy="2791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</w:rPr>
      </w:pPr>
      <w:bookmarkStart w:id="8" w:name="_Toc29091"/>
      <w:r>
        <w:rPr>
          <w:rFonts w:hint="eastAsia"/>
        </w:rPr>
        <w:t>查看阅卷进度（组长权限）</w:t>
      </w:r>
      <w:bookmarkEnd w:id="8"/>
    </w:p>
    <w:p>
      <w:pPr>
        <w:rPr>
          <w:sz w:val="24"/>
        </w:rPr>
      </w:pPr>
      <w:r>
        <w:rPr>
          <w:rFonts w:hint="eastAsia"/>
          <w:sz w:val="24"/>
        </w:rPr>
        <w:t>在导航菜单栏内，找到评卷进度查询，打开后可以查看阅卷进度；</w:t>
      </w:r>
    </w:p>
    <w:p>
      <w:r>
        <w:drawing>
          <wp:inline distT="0" distB="0" distL="0" distR="0">
            <wp:extent cx="5274310" cy="2293620"/>
            <wp:effectExtent l="0" t="0" r="2540" b="0"/>
            <wp:docPr id="21" name="图片 21" descr="C:\Users\yaoxin\AppData\Local\Temp\160887795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:\Users\yaoxin\AppData\Local\Temp\1608877953(1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9" w:name="_Toc9566"/>
      <w:r>
        <w:rPr>
          <w:rFonts w:hint="eastAsia"/>
        </w:rPr>
        <w:t>6.仲裁模式（</w:t>
      </w:r>
      <w:bookmarkStart w:id="12" w:name="_GoBack"/>
      <w:bookmarkEnd w:id="12"/>
      <w:r>
        <w:rPr>
          <w:rFonts w:hint="eastAsia"/>
        </w:rPr>
        <w:t>组长权限）</w:t>
      </w:r>
      <w:bookmarkEnd w:id="9"/>
    </w:p>
    <w:p>
      <w:pPr>
        <w:rPr>
          <w:sz w:val="24"/>
        </w:rPr>
      </w:pPr>
      <w:r>
        <w:rPr>
          <w:rFonts w:hint="eastAsia"/>
          <w:sz w:val="24"/>
        </w:rPr>
        <w:t>当试卷设置双评时，会出现仲裁试卷，这时，需要小题组长登录至阅卷界面，在上方菜单栏处选择模式，切换至仲裁模式，在选择对应试题，根据答题内容进行最终分的评判；</w:t>
      </w:r>
    </w:p>
    <w:p>
      <w:r>
        <w:drawing>
          <wp:inline distT="0" distB="0" distL="0" distR="0">
            <wp:extent cx="5742305" cy="284797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9832" cy="2846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0" w:name="_Toc31189"/>
      <w:r>
        <w:rPr>
          <w:rFonts w:hint="eastAsia"/>
        </w:rPr>
        <w:t>7.试评状态修改为正评状态（组长权限）</w:t>
      </w:r>
      <w:bookmarkEnd w:id="10"/>
    </w:p>
    <w:p>
      <w:pPr>
        <w:rPr>
          <w:sz w:val="24"/>
        </w:rPr>
      </w:pPr>
      <w:r>
        <w:rPr>
          <w:rFonts w:hint="eastAsia"/>
          <w:sz w:val="24"/>
        </w:rPr>
        <w:t>小题组长与阅卷员试评结束后，定制好评分规则，可联系科目组长开启试题的正评状态；</w:t>
      </w:r>
    </w:p>
    <w:p>
      <w:pPr>
        <w:rPr>
          <w:sz w:val="24"/>
        </w:rPr>
      </w:pPr>
      <w:r>
        <w:rPr>
          <w:rFonts w:hint="eastAsia"/>
          <w:sz w:val="24"/>
        </w:rPr>
        <w:t>科目组长账号登录后，在左侧菜单栏，找到网上评卷-评卷状态管理，在右侧选中需要修改的试题，点击上方的正评即可；修改后试题的状态由试评改为正评；</w:t>
      </w:r>
    </w:p>
    <w:p>
      <w:r>
        <w:drawing>
          <wp:inline distT="0" distB="0" distL="0" distR="0">
            <wp:extent cx="5695950" cy="30956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97060" cy="3096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2"/>
        <w:numPr>
          <w:ilvl w:val="0"/>
          <w:numId w:val="1"/>
        </w:numPr>
        <w:rPr>
          <w:rFonts w:hint="eastAsia"/>
          <w:lang w:eastAsia="zh-CN"/>
        </w:rPr>
      </w:pPr>
      <w:bookmarkStart w:id="11" w:name="_Toc12460"/>
      <w:r>
        <w:rPr>
          <w:rFonts w:hint="eastAsia"/>
          <w:lang w:eastAsia="zh-CN"/>
        </w:rPr>
        <w:t>评卷质量管理</w:t>
      </w:r>
      <w:r>
        <w:rPr>
          <w:rFonts w:hint="eastAsia"/>
        </w:rPr>
        <w:t>（组长权限）</w:t>
      </w:r>
      <w:bookmarkEnd w:id="11"/>
    </w:p>
    <w:p>
      <w:pPr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eastAsia="zh-CN"/>
        </w:rPr>
        <w:t>在网上评卷</w:t>
      </w:r>
      <w:r>
        <w:rPr>
          <w:rFonts w:hint="eastAsia"/>
          <w:sz w:val="24"/>
          <w:lang w:val="en-US" w:eastAsia="zh-CN"/>
        </w:rPr>
        <w:t>-评卷质量管理中，需要选择考试项目、科目、题组，最后点击左面评卷教师即可查看到个人与全体的一致性。</w:t>
      </w:r>
    </w:p>
    <w:p>
      <w:pPr>
        <w:rPr>
          <w:rFonts w:hint="eastAsia"/>
          <w:sz w:val="24"/>
          <w:lang w:val="en-US" w:eastAsia="zh-CN"/>
        </w:rPr>
      </w:pPr>
    </w:p>
    <w:p>
      <w:pPr>
        <w:rPr>
          <w:rFonts w:hint="default"/>
          <w:sz w:val="24"/>
          <w:lang w:val="en-US" w:eastAsia="zh-CN"/>
        </w:rPr>
      </w:pPr>
      <w:r>
        <w:drawing>
          <wp:inline distT="0" distB="0" distL="114300" distR="114300">
            <wp:extent cx="5268595" cy="2762885"/>
            <wp:effectExtent l="0" t="0" r="8255" b="18415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76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lang w:eastAsia="zh-CN"/>
        </w:rPr>
      </w:pPr>
      <w:r>
        <w:rPr>
          <w:rFonts w:hint="eastAsia"/>
          <w:sz w:val="24"/>
          <w:lang w:val="en-US" w:eastAsia="zh-CN"/>
        </w:rPr>
        <w:t>本软件个人与全体的一致性</w:t>
      </w:r>
      <w:r>
        <w:rPr>
          <w:rFonts w:hint="eastAsia"/>
          <w:sz w:val="24"/>
          <w:lang w:eastAsia="zh-CN"/>
        </w:rPr>
        <w:t>使用的数学模型为柯尔莫哥洛夫</w:t>
      </w:r>
      <w:r>
        <w:rPr>
          <w:rFonts w:hint="eastAsia"/>
          <w:sz w:val="24"/>
          <w:lang w:val="en-US" w:eastAsia="zh-CN"/>
        </w:rPr>
        <w:t>-</w:t>
      </w:r>
      <w:r>
        <w:rPr>
          <w:rFonts w:hint="eastAsia"/>
          <w:sz w:val="24"/>
          <w:lang w:eastAsia="zh-CN"/>
        </w:rPr>
        <w:t>斯米尔诺夫检验法。简述如下：首先计算出整体评卷的分数－人数比曲线，再计算评卷员个人的个人分数－人数比曲线；这时比较两个曲线的拟合程度，如果超过设置的允许值，则认为评卷有误差，否则就没有误差。示意图如下：</w:t>
      </w:r>
    </w:p>
    <w:p>
      <w:pPr>
        <w:numPr>
          <w:ilvl w:val="0"/>
          <w:numId w:val="0"/>
        </w:numPr>
        <w:rPr>
          <w:rFonts w:hint="eastAsia" w:eastAsiaTheme="minorEastAsia"/>
          <w:color w:val="000000"/>
          <w:szCs w:val="21"/>
          <w:lang w:eastAsia="zh-CN"/>
        </w:rPr>
      </w:pPr>
      <w:r>
        <w:rPr>
          <w:rFonts w:hint="eastAsia" w:eastAsiaTheme="minorEastAsia"/>
          <w:color w:val="000000"/>
          <w:szCs w:val="21"/>
          <w:lang w:eastAsia="zh-CN"/>
        </w:rPr>
        <w:drawing>
          <wp:inline distT="0" distB="0" distL="114300" distR="114300">
            <wp:extent cx="5268595" cy="2577465"/>
            <wp:effectExtent l="0" t="0" r="8255" b="1333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7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在查询评卷教师的个人与全体一致性时，如出现绿色曲线。表明评卷教师与全体较为一致，如下图所示：</w:t>
      </w:r>
    </w:p>
    <w:p>
      <w:pPr>
        <w:numPr>
          <w:ilvl w:val="0"/>
          <w:numId w:val="0"/>
        </w:numPr>
        <w:rPr>
          <w:rFonts w:hint="eastAsia" w:eastAsiaTheme="minorEastAsia"/>
          <w:color w:val="000000"/>
          <w:szCs w:val="21"/>
          <w:lang w:eastAsia="zh-CN"/>
        </w:rPr>
      </w:pPr>
    </w:p>
    <w:p>
      <w:r>
        <w:drawing>
          <wp:inline distT="0" distB="0" distL="114300" distR="114300">
            <wp:extent cx="5272405" cy="3032125"/>
            <wp:effectExtent l="0" t="0" r="4445" b="15875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3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在查询评卷教师的个人与全体一致性时，如出现红色曲线。表明评卷教师个人评分与全体评分出现偏差，需要组长及时抽查评卷教师的评卷情况确认是否真的存在误差，如果确实发现给分有偏差，抽查过程中可以修改教师评分。</w:t>
      </w:r>
    </w:p>
    <w:p>
      <w:pPr>
        <w:rPr>
          <w:rFonts w:hint="eastAsia"/>
          <w:sz w:val="24"/>
          <w:lang w:val="en-US" w:eastAsia="zh-CN"/>
        </w:rPr>
      </w:pPr>
      <w:r>
        <w:rPr>
          <w:rFonts w:hint="eastAsia"/>
          <w:sz w:val="24"/>
          <w:lang w:val="en-US" w:eastAsia="zh-CN"/>
        </w:rPr>
        <w:t>主要抽查红色曲线与蓝色曲线不相重合处所对应的分数区间，如下图所示：</w:t>
      </w:r>
    </w:p>
    <w:p>
      <w:pPr>
        <w:rPr>
          <w:rFonts w:hint="eastAsia"/>
          <w:color w:val="000000"/>
          <w:szCs w:val="21"/>
          <w:lang w:eastAsia="zh-CN"/>
        </w:rPr>
      </w:pPr>
      <w:r>
        <w:drawing>
          <wp:inline distT="0" distB="0" distL="114300" distR="114300">
            <wp:extent cx="5274310" cy="2978150"/>
            <wp:effectExtent l="0" t="0" r="2540" b="1270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-803275</wp:posOffset>
                </wp:positionH>
                <wp:positionV relativeFrom="paragraph">
                  <wp:posOffset>114935</wp:posOffset>
                </wp:positionV>
                <wp:extent cx="5677535" cy="1582420"/>
                <wp:effectExtent l="6350" t="6350" r="12065" b="1154430"/>
                <wp:wrapNone/>
                <wp:docPr id="28" name="组合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7535" cy="1582420"/>
                          <a:chOff x="3472" y="156305"/>
                          <a:chExt cx="8941" cy="2492"/>
                        </a:xfrm>
                      </wpg:grpSpPr>
                      <wps:wsp>
                        <wps:cNvPr id="13" name="圆角矩形标注 13"/>
                        <wps:cNvSpPr/>
                        <wps:spPr>
                          <a:xfrm>
                            <a:off x="4776" y="156386"/>
                            <a:ext cx="2295" cy="658"/>
                          </a:xfrm>
                          <a:prstGeom prst="wedgeRoundRectCallout">
                            <a:avLst>
                              <a:gd name="adj1" fmla="val -239"/>
                              <a:gd name="adj2" fmla="val 91440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  <w:t>1、选择筛选的分数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5" name="圆角矩形标注 15"/>
                        <wps:cNvSpPr/>
                        <wps:spPr>
                          <a:xfrm>
                            <a:off x="8318" y="156374"/>
                            <a:ext cx="1557" cy="566"/>
                          </a:xfrm>
                          <a:prstGeom prst="wedgeRoundRectCallout">
                            <a:avLst>
                              <a:gd name="adj1" fmla="val 30924"/>
                              <a:gd name="adj2" fmla="val 134275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  <w:t>2、点筛选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" name="圆角矩形标注 16"/>
                        <wps:cNvSpPr/>
                        <wps:spPr>
                          <a:xfrm>
                            <a:off x="3472" y="157805"/>
                            <a:ext cx="1280" cy="992"/>
                          </a:xfrm>
                          <a:prstGeom prst="wedgeRoundRectCallout">
                            <a:avLst>
                              <a:gd name="adj1" fmla="val 64258"/>
                              <a:gd name="adj2" fmla="val 224028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  <w:t>3、勾选具体的试卷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8" name="圆角矩形标注 18"/>
                        <wps:cNvSpPr/>
                        <wps:spPr>
                          <a:xfrm>
                            <a:off x="10857" y="156305"/>
                            <a:ext cx="1557" cy="566"/>
                          </a:xfrm>
                          <a:prstGeom prst="wedgeRoundRectCallout">
                            <a:avLst>
                              <a:gd name="adj1" fmla="val -72093"/>
                              <a:gd name="adj2" fmla="val 140282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FF0000"/>
                                  <w:highlight w:val="none"/>
                                  <w:lang w:val="en-US" w:eastAsia="zh-CN"/>
                                </w:rPr>
                                <w:t>4、点抽查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63.25pt;margin-top:9.05pt;height:124.6pt;width:447.05pt;z-index:251658240;mso-width-relative:page;mso-height-relative:page;" coordorigin="3472,156305" coordsize="8941,2492" o:gfxdata="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">
                <o:lock v:ext="edit" aspectratio="f"/>
                <v:shape id="_x0000_s1026" o:spid="_x0000_s1026" o:spt="62" type="#_x0000_t62" style="position:absolute;left:4776;top:156386;height:658;width:2295;v-text-anchor:middle;" filled="f" stroked="t" coordsize="21600,21600" o:gfxdata="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BDhnVugAAANsA&#10;AAAPAAAAAAAAAAEAIAAAACIAAABkcnMvZG93bnJldi54bWxQSwECFAAUAAAACACHTuJAMy8FnjsA&#10;AAA5AAAAEAAAAAAAAAABACAAAAAJAQAAZHJzL3NoYXBleG1sLnhtbFBLBQYAAAAABgAGAFsBAACz&#10;AwAAAAA=&#10;" adj="10748,30551,14400">
                  <v:fill on="f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color w:val="FF0000"/>
                            <w:highlight w:val="non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FF0000"/>
                            <w:highlight w:val="none"/>
                            <w:lang w:val="en-US" w:eastAsia="zh-CN"/>
                          </w:rPr>
                          <w:t>1、选择筛选的分数</w:t>
                        </w:r>
                      </w:p>
                    </w:txbxContent>
                  </v:textbox>
                </v:shape>
                <v:shape id="_x0000_s1026" o:spid="_x0000_s1026" o:spt="62" type="#_x0000_t62" style="position:absolute;left:8318;top:156374;height:566;width:1557;v-text-anchor:middle;" filled="f" stroked="t" coordsize="21600,21600" o:gfxdata="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/FNfMtwAAANsAAAAP&#10;AAAAAAAAAAEAIAAAACIAAABkcnMvZG93bnJldi54bWxQSwECFAAUAAAACACHTuJAMy8FnjsAAAA5&#10;AAAAEAAAAAAAAAABACAAAAAGAQAAZHJzL3NoYXBleG1sLnhtbFBLBQYAAAAABgAGAFsBAACwAwAA&#10;AAA=&#10;" adj="17480,39803,14400">
                  <v:fill on="f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color w:val="FF0000"/>
                            <w:highlight w:val="non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FF0000"/>
                            <w:highlight w:val="none"/>
                            <w:lang w:val="en-US" w:eastAsia="zh-CN"/>
                          </w:rPr>
                          <w:t>2、点筛选</w:t>
                        </w:r>
                      </w:p>
                    </w:txbxContent>
                  </v:textbox>
                </v:shape>
                <v:shape id="_x0000_s1026" o:spid="_x0000_s1026" o:spt="62" type="#_x0000_t62" style="position:absolute;left:3472;top:157805;height:992;width:1280;v-text-anchor:middle;" filled="f" stroked="t" coordsize="21600,21600" o:gfxdata="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oRxGugAAANsA&#10;AAAPAAAAAAAAAAEAIAAAACIAAABkcnMvZG93bnJldi54bWxQSwECFAAUAAAACACHTuJAMy8FnjsA&#10;AAA5AAAAEAAAAAAAAAABACAAAAAJAQAAZHJzL3NoYXBleG1sLnhtbFBLBQYAAAAABgAGAFsBAACz&#10;AwAAAAA=&#10;" adj="24680,59190,14400">
                  <v:fill on="f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color w:val="FF0000"/>
                            <w:highlight w:val="non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FF0000"/>
                            <w:highlight w:val="none"/>
                            <w:lang w:val="en-US" w:eastAsia="zh-CN"/>
                          </w:rPr>
                          <w:t>3、勾选具体的试卷</w:t>
                        </w:r>
                      </w:p>
                    </w:txbxContent>
                  </v:textbox>
                </v:shape>
                <v:shape id="_x0000_s1026" o:spid="_x0000_s1026" o:spt="62" type="#_x0000_t62" style="position:absolute;left:10857;top:156305;height:566;width:1557;v-text-anchor:middle;" filled="f" stroked="t" coordsize="21600,21600" o:gfxdata="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34bfe/&#10;AAAA2wAAAA8AAAAAAAAAAQAgAAAAIgAAAGRycy9kb3ducmV2LnhtbFBLAQIUABQAAAAIAIdO4kAz&#10;LwWeOwAAADkAAAAQAAAAAAAAAAEAIAAAAA4BAABkcnMvc2hhcGV4bWwueG1sUEsFBgAAAAAGAAYA&#10;WwEAALgDAAAAAA==&#10;" adj="-4772,41101,14400">
                  <v:fill on="f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color w:val="FF0000"/>
                            <w:highlight w:val="non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FF0000"/>
                            <w:highlight w:val="none"/>
                            <w:lang w:val="en-US" w:eastAsia="zh-CN"/>
                          </w:rPr>
                          <w:t>4、点抽查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</w:p>
    <w:p>
      <w:pPr>
        <w:rPr>
          <w:rFonts w:hint="eastAsia"/>
          <w:color w:val="000000"/>
          <w:szCs w:val="21"/>
          <w:lang w:eastAsia="zh-CN"/>
        </w:rPr>
      </w:pPr>
      <w:r>
        <w:drawing>
          <wp:inline distT="0" distB="0" distL="114300" distR="114300">
            <wp:extent cx="5270500" cy="2999740"/>
            <wp:effectExtent l="0" t="0" r="6350" b="1016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9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AC3692"/>
    <w:multiLevelType w:val="singleLevel"/>
    <w:tmpl w:val="0CAC3692"/>
    <w:lvl w:ilvl="0" w:tentative="0">
      <w:start w:val="8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20D0"/>
    <w:rsid w:val="002256CF"/>
    <w:rsid w:val="002B050A"/>
    <w:rsid w:val="004B601A"/>
    <w:rsid w:val="004F452A"/>
    <w:rsid w:val="00510BC2"/>
    <w:rsid w:val="006E3990"/>
    <w:rsid w:val="00843AFA"/>
    <w:rsid w:val="00876E4D"/>
    <w:rsid w:val="008B0257"/>
    <w:rsid w:val="00927059"/>
    <w:rsid w:val="0094776E"/>
    <w:rsid w:val="009E759D"/>
    <w:rsid w:val="00A44EAF"/>
    <w:rsid w:val="00B4377F"/>
    <w:rsid w:val="00B827FA"/>
    <w:rsid w:val="00BF3139"/>
    <w:rsid w:val="00CC266F"/>
    <w:rsid w:val="00D030CE"/>
    <w:rsid w:val="00D05660"/>
    <w:rsid w:val="00DF6478"/>
    <w:rsid w:val="00F2440D"/>
    <w:rsid w:val="00FB20D0"/>
    <w:rsid w:val="00FF7231"/>
    <w:rsid w:val="0D6B5DFA"/>
    <w:rsid w:val="15230362"/>
    <w:rsid w:val="1D2B3E83"/>
    <w:rsid w:val="1EFA447F"/>
    <w:rsid w:val="246B3EA3"/>
    <w:rsid w:val="25BF71FD"/>
    <w:rsid w:val="27EF78D3"/>
    <w:rsid w:val="33F4086E"/>
    <w:rsid w:val="3C143229"/>
    <w:rsid w:val="3D776625"/>
    <w:rsid w:val="3FE84C27"/>
    <w:rsid w:val="3FEC5633"/>
    <w:rsid w:val="464B7791"/>
    <w:rsid w:val="49284C3C"/>
    <w:rsid w:val="51F73052"/>
    <w:rsid w:val="552B48BF"/>
    <w:rsid w:val="68CE49CE"/>
    <w:rsid w:val="69AE130D"/>
    <w:rsid w:val="69F10A0E"/>
    <w:rsid w:val="7E355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5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7"/>
    <w:qFormat/>
    <w:uiPriority w:val="0"/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qFormat/>
    <w:uiPriority w:val="39"/>
  </w:style>
  <w:style w:type="paragraph" w:styleId="8">
    <w:name w:val="toc 2"/>
    <w:basedOn w:val="1"/>
    <w:next w:val="1"/>
    <w:qFormat/>
    <w:uiPriority w:val="39"/>
    <w:pPr>
      <w:ind w:left="420" w:leftChars="200"/>
    </w:pPr>
  </w:style>
  <w:style w:type="paragraph" w:styleId="9">
    <w:name w:val="Title"/>
    <w:basedOn w:val="1"/>
    <w:next w:val="1"/>
    <w:link w:val="14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2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3">
    <w:name w:val="标题 1 Char"/>
    <w:basedOn w:val="11"/>
    <w:link w:val="2"/>
    <w:qFormat/>
    <w:uiPriority w:val="0"/>
    <w:rPr>
      <w:b/>
      <w:bCs/>
      <w:kern w:val="44"/>
      <w:sz w:val="44"/>
      <w:szCs w:val="44"/>
    </w:rPr>
  </w:style>
  <w:style w:type="character" w:customStyle="1" w:styleId="14">
    <w:name w:val="标题 Char"/>
    <w:basedOn w:val="11"/>
    <w:link w:val="9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5">
    <w:name w:val="标题 2 Char"/>
    <w:basedOn w:val="11"/>
    <w:link w:val="3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customStyle="1" w:styleId="16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  <w:style w:type="character" w:customStyle="1" w:styleId="17">
    <w:name w:val="批注框文本 Char"/>
    <w:basedOn w:val="11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customXml" Target="../customXml/item2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/>
      <a:bodyPr rot="0" vertOverflow="overflow" horzOverflow="overflow" vert="horz" wrap="square" lIns="91440" tIns="45720" rIns="91440" bIns="45720" numCol="1" spcCol="0" rtlCol="0" fromWordArt="0" anchor="ctr" anchorCtr="0" forceAA="0" compatLnSpc="1"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64B2752-D79A-4219-AFCA-D7E69110311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246</Words>
  <Characters>1405</Characters>
  <Lines>11</Lines>
  <Paragraphs>3</Paragraphs>
  <TotalTime>0</TotalTime>
  <ScaleCrop>false</ScaleCrop>
  <LinksUpToDate>false</LinksUpToDate>
  <CharactersWithSpaces>1648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QIU</dc:creator>
  <cp:lastModifiedBy>航飞</cp:lastModifiedBy>
  <dcterms:modified xsi:type="dcterms:W3CDTF">2020-12-30T06:42:14Z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