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915B4">
      <w:pPr>
        <w:spacing w:line="560" w:lineRule="exact"/>
        <w:jc w:val="center"/>
        <w:rPr>
          <w:rFonts w:ascii="微软雅黑" w:eastAsia="微软雅黑"/>
          <w:sz w:val="44"/>
          <w:szCs w:val="44"/>
        </w:rPr>
      </w:pPr>
    </w:p>
    <w:p w14:paraId="67B57265">
      <w:pPr>
        <w:adjustRightInd w:val="0"/>
        <w:snapToGrid w:val="0"/>
        <w:spacing w:line="560" w:lineRule="exact"/>
        <w:jc w:val="center"/>
        <w:rPr>
          <w:rFonts w:ascii="微软雅黑" w:eastAsia="微软雅黑"/>
          <w:sz w:val="44"/>
          <w:szCs w:val="44"/>
        </w:rPr>
      </w:pPr>
      <w:r>
        <w:rPr>
          <w:rFonts w:hint="eastAsia" w:ascii="微软雅黑" w:eastAsia="微软雅黑"/>
          <w:sz w:val="44"/>
          <w:szCs w:val="44"/>
        </w:rPr>
        <w:t>联考考前练习步骤</w:t>
      </w:r>
    </w:p>
    <w:p w14:paraId="2A6B3CDC">
      <w:pPr>
        <w:adjustRightInd w:val="0"/>
        <w:snapToGrid w:val="0"/>
        <w:spacing w:line="560" w:lineRule="exact"/>
        <w:rPr>
          <w:rFonts w:ascii="微软雅黑" w:eastAsia="微软雅黑"/>
          <w:sz w:val="44"/>
          <w:szCs w:val="44"/>
        </w:rPr>
      </w:pPr>
    </w:p>
    <w:p w14:paraId="272B9DFD">
      <w:pPr>
        <w:adjustRightInd w:val="0"/>
        <w:snapToGrid w:val="0"/>
        <w:spacing w:line="560" w:lineRule="exact"/>
        <w:ind w:firstLine="643" w:firstLineChars="200"/>
        <w:rPr>
          <w:rFonts w:hint="eastAsia" w:ascii="方正仿宋_GB2312" w:hAnsi="方正仿宋_GB2312" w:eastAsia="方正仿宋_GB2312" w:cs="方正仿宋_GB2312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sz w:val="32"/>
          <w:szCs w:val="32"/>
        </w:rPr>
        <w:t>一、网站操作</w:t>
      </w:r>
    </w:p>
    <w:p w14:paraId="6D722444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（一）班级测试：用自己的账号登录 </w:t>
      </w:r>
    </w:p>
    <w:p w14:paraId="28816084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begin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instrText xml:space="preserve"> HYPERLINK "http://jkpt.bjtzeduyun.com/login.html" </w:instrTex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separate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http://jkpt.bjtzeduyun.com/login.html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end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，如不清楚账号可以加入qq群：通州初中英语模考交流： 377640514@张超。</w:t>
      </w:r>
    </w:p>
    <w:p w14:paraId="2776EBE4">
      <w:pPr>
        <w:numPr>
          <w:ilvl w:val="0"/>
          <w:numId w:val="1"/>
        </w:numPr>
        <w:adjustRightInd w:val="0"/>
        <w:snapToGrid w:val="0"/>
        <w:spacing w:line="560" w:lineRule="exact"/>
        <w:ind w:left="800" w:leftChars="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查看班级中学生信息是否正确，确保不缺少需要参加此次考试的学生信息。如下图，缺少的学生不能参加考试。</w:t>
      </w:r>
    </w:p>
    <w:p w14:paraId="78D45375">
      <w:pPr>
        <w:numPr>
          <w:ilvl w:val="0"/>
          <w:numId w:val="1"/>
        </w:numPr>
        <w:adjustRightInd w:val="0"/>
        <w:snapToGrid w:val="0"/>
        <w:spacing w:line="560" w:lineRule="exact"/>
        <w:ind w:left="800" w:leftChars="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点击“新建考试”建立一个模拟测试任务。如下图，</w:t>
      </w:r>
    </w:p>
    <w:p w14:paraId="402D492C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2364740"/>
            <wp:effectExtent l="9525" t="9525" r="1206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4740"/>
                    </a:xfrm>
                    <a:prstGeom prst="rect">
                      <a:avLst/>
                    </a:prstGeom>
                    <a:ln>
                      <a:solidFill>
                        <a:schemeClr val="accent4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61DC600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3524C4A7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2085340"/>
            <wp:effectExtent l="9525" t="9525" r="1206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5340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8AE7949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1065530"/>
            <wp:effectExtent l="9525" t="9525" r="12065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553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3E9C8E7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（二）校级联考</w:t>
      </w:r>
    </w:p>
    <w:p w14:paraId="632F91E0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使用校教研员账号组织整个年级的考试，具体操作流程如下：</w:t>
      </w:r>
    </w:p>
    <w:p w14:paraId="7B20FAC9">
      <w:pPr>
        <w:jc w:val="lef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1322070"/>
            <wp:effectExtent l="9525" t="9525" r="12065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207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14:paraId="20BB7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0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3850640"/>
            <wp:effectExtent l="9525" t="9525" r="12065" b="133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0640"/>
                    </a:xfrm>
                    <a:prstGeom prst="rect">
                      <a:avLst/>
                    </a:prstGeom>
                    <a:ln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</w:t>
      </w:r>
    </w:p>
    <w:p w14:paraId="38558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0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3388B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方正仿宋_GB2312" w:hAnsi="方正仿宋_GB2312" w:eastAsia="方正仿宋_GB2312" w:cs="方正仿宋_GB2312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在考务编排里面可以添加多个机房，在机房登录模考软件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时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分别使用上图中选择的监考老师账号登录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即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可以看到对应的考试任务。</w:t>
      </w:r>
    </w:p>
    <w:p w14:paraId="375B84B0">
      <w:pPr>
        <w:adjustRightInd w:val="0"/>
        <w:snapToGrid w:val="0"/>
        <w:spacing w:line="560" w:lineRule="exact"/>
        <w:ind w:firstLine="643" w:firstLineChars="200"/>
        <w:rPr>
          <w:rFonts w:hint="eastAsia" w:ascii="方正仿宋_GB2312" w:hAnsi="方正仿宋_GB2312" w:eastAsia="方正仿宋_GB2312" w:cs="方正仿宋_GB2312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sz w:val="32"/>
          <w:szCs w:val="32"/>
        </w:rPr>
        <w:t>二、机房操作步骤</w:t>
      </w:r>
    </w:p>
    <w:p w14:paraId="3EE4FC18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（一）打开英语听说模拟测试系统，登录建立任务的老师账号。</w:t>
      </w:r>
    </w:p>
    <w:p w14:paraId="79D37DF2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（二）“下载”建立的任务，然后点击“开始”按钮，稍后会打开监考软件。如下图：</w:t>
      </w:r>
    </w:p>
    <w:p w14:paraId="197DA2C3">
      <w:pPr>
        <w:pStyle w:val="6"/>
        <w:spacing w:line="360" w:lineRule="auto"/>
        <w:ind w:left="360" w:firstLine="0" w:firstLineChars="0"/>
        <w:jc w:val="lef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4704715" cy="2749550"/>
            <wp:effectExtent l="0" t="0" r="6985" b="635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17781" cy="2757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D1C55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（三）在监考软件中可以看到已连接的学生机数量，此时点击“准备考试”按钮，稍后在学生机可以看到学生输入学号界面。</w:t>
      </w:r>
    </w:p>
    <w:p w14:paraId="660D9236">
      <w:pPr>
        <w:pStyle w:val="6"/>
        <w:spacing w:line="360" w:lineRule="auto"/>
        <w:ind w:left="36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1165225"/>
            <wp:effectExtent l="0" t="0" r="8890" b="31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C6DA1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54EEA100">
      <w:pPr>
        <w:pStyle w:val="6"/>
        <w:adjustRightInd w:val="0"/>
        <w:snapToGrid w:val="0"/>
        <w:spacing w:line="560" w:lineRule="exact"/>
        <w:ind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1. 按照考务安排，组织相应场次学生入场，指导学生试音（如有试音不通过可以更换耳机或考试机位）。</w:t>
      </w:r>
    </w:p>
    <w:p w14:paraId="23BECDBE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学生都试音完成后（监考机上此时学生的状态为：“准备就绪”），点击“开始考试”按钮，此时学生进入答题过程。如果此过程中有学生电脑出现网络故障或电脑故障以致不能答题，记录下学生的姓名，并安排学生在后续场次中进行重考。如下图：</w:t>
      </w:r>
    </w:p>
    <w:p w14:paraId="4F04DC20">
      <w:pPr>
        <w:pStyle w:val="6"/>
        <w:spacing w:line="360" w:lineRule="auto"/>
        <w:ind w:left="360" w:firstLine="0" w:firstLineChars="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4851400" cy="1409700"/>
            <wp:effectExtent l="9525" t="9525" r="15875" b="158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51649" cy="1409772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F0FCBDF">
      <w:pPr>
        <w:pStyle w:val="6"/>
        <w:adjustRightInd w:val="0"/>
        <w:snapToGrid w:val="0"/>
        <w:spacing w:line="560" w:lineRule="exact"/>
        <w:ind w:firstLine="800" w:firstLineChars="250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学生答题完成后试卷自动回收，等所有学生状态为“考试成功”（异常考生机除外）后，点击“结束考试”按钮，出现本场考试报告（报告中考试失败的学生必须重考，否则没有成绩）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 w14:paraId="2D472026">
      <w:pPr>
        <w:pStyle w:val="6"/>
        <w:adjustRightInd w:val="0"/>
        <w:snapToGrid w:val="0"/>
        <w:spacing w:line="560" w:lineRule="exact"/>
        <w:ind w:firstLine="800" w:firstLineChars="25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4.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在如下界面（本机房所有学生未考试完成前不要关闭此界面）按照“准备考试”----“开始考试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”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----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“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结束考试”流程依次进行下一轮考试，直至所有本考场中的学生考试完成。</w:t>
      </w:r>
    </w:p>
    <w:p w14:paraId="36057FCC">
      <w:pPr>
        <w:pStyle w:val="6"/>
        <w:adjustRightInd w:val="0"/>
        <w:snapToGrid w:val="0"/>
        <w:spacing w:line="560" w:lineRule="exact"/>
        <w:ind w:firstLine="64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5.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每个机房最后一场考试结束后（本机房考试的所有班级的学生已成功考试），老师需要关闭“监考软件”回到“考试管理”界面，找到考试的任务，然后点击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“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结束”按钮，再点击“上传”按钮，直至显示上传成功，显示“上传完成，请前往教考平台查看考试成绩”，此任务考试完毕。如下图：</w:t>
      </w:r>
    </w:p>
    <w:p w14:paraId="7CDB4DD0">
      <w:pPr>
        <w:pStyle w:val="6"/>
        <w:spacing w:line="360" w:lineRule="auto"/>
        <w:ind w:left="36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bookmarkStart w:id="0" w:name="_GoBack"/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1519555"/>
            <wp:effectExtent l="9525" t="9525" r="12065" b="203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9555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14:paraId="103FFDD6">
      <w:pPr>
        <w:pStyle w:val="6"/>
        <w:spacing w:line="360" w:lineRule="auto"/>
        <w:ind w:left="36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13350" cy="381000"/>
            <wp:effectExtent l="9525" t="9525" r="9525" b="1587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13618" cy="381020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34D09F1">
      <w:pPr>
        <w:pStyle w:val="6"/>
        <w:numPr>
          <w:ilvl w:val="0"/>
          <w:numId w:val="2"/>
        </w:numPr>
        <w:adjustRightInd w:val="0"/>
        <w:snapToGrid w:val="0"/>
        <w:spacing w:line="560" w:lineRule="exact"/>
        <w:ind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成绩查询</w:t>
      </w:r>
    </w:p>
    <w:p w14:paraId="71B8079C">
      <w:pPr>
        <w:pStyle w:val="6"/>
        <w:adjustRightInd w:val="0"/>
        <w:snapToGrid w:val="0"/>
        <w:spacing w:line="560" w:lineRule="exact"/>
        <w:ind w:firstLine="64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使用建立任务的账号登录：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begin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instrText xml:space="preserve"> HYPERLINK "http://jkpt.bjtzeduyun.com/login.html" </w:instrTex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separate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http://jkpt.bjtzeduyun.com/login.html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end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进行查询。</w:t>
      </w:r>
    </w:p>
    <w:p w14:paraId="5AF46107">
      <w:pPr>
        <w:pStyle w:val="6"/>
        <w:spacing w:line="360" w:lineRule="auto"/>
        <w:ind w:left="36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474BC3B8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6753C5E4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4993DF59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3315BD55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06EC2A8-2ECE-4F94-92AE-1DAA015D54FC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8A7C0E1-97EF-42F4-8944-1B05A1C7360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0302DFCA-5514-4538-8480-047C6D4B70B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F488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BC957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FFF2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CE6F5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5F3A95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D4134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081086"/>
    <w:multiLevelType w:val="multilevel"/>
    <w:tmpl w:val="1C081086"/>
    <w:lvl w:ilvl="0" w:tentative="0">
      <w:start w:val="6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BC70E34"/>
    <w:multiLevelType w:val="singleLevel"/>
    <w:tmpl w:val="6BC70E34"/>
    <w:lvl w:ilvl="0" w:tentative="0">
      <w:start w:val="1"/>
      <w:numFmt w:val="decimal"/>
      <w:suff w:val="space"/>
      <w:lvlText w:val="%1."/>
      <w:lvlJc w:val="left"/>
      <w:pPr>
        <w:ind w:left="80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yODE2ZmQyNWJiNzIyZmQ4ODE4ZDUyZjg2OTkxNWMifQ=="/>
  </w:docVars>
  <w:rsids>
    <w:rsidRoot w:val="00000000"/>
    <w:rsid w:val="0331568B"/>
    <w:rsid w:val="08DB6A0C"/>
    <w:rsid w:val="155F58AB"/>
    <w:rsid w:val="2CB27900"/>
    <w:rsid w:val="367813EE"/>
    <w:rsid w:val="54C0055D"/>
    <w:rsid w:val="55FA184D"/>
    <w:rsid w:val="59D2488F"/>
    <w:rsid w:val="679068A1"/>
    <w:rsid w:val="71AC4DB6"/>
    <w:rsid w:val="74E427B0"/>
    <w:rsid w:val="7B2F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831</Words>
  <Characters>924</Characters>
  <Lines>0</Lines>
  <Paragraphs>0</Paragraphs>
  <TotalTime>10</TotalTime>
  <ScaleCrop>false</ScaleCrop>
  <LinksUpToDate>false</LinksUpToDate>
  <CharactersWithSpaces>947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2024-05-29T06:52:00Z</dcterms:created>
  <dc:creator>admin</dc:creator>
  <cp:lastModifiedBy>冯辉</cp:lastModifiedBy>
  <dcterms:modified xsi:type="dcterms:W3CDTF">2024-11-05T01:39:00Z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847D5D5E325941D7AA5B862414B4445F</vt:lpwstr>
  </property>
</Properties>
</file>